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45FD91" w14:textId="41709C24" w:rsidR="00A8736B" w:rsidRDefault="00B2486A" w:rsidP="0032461D">
      <w:pPr>
        <w:tabs>
          <w:tab w:val="right" w:leader="dot" w:pos="9412"/>
        </w:tabs>
        <w:spacing w:before="120"/>
        <w:jc w:val="center"/>
      </w:pPr>
      <w:r>
        <w:rPr>
          <w:rFonts w:ascii="Arial" w:hAnsi="Arial" w:cs="Arial"/>
          <w:b/>
          <w:sz w:val="56"/>
          <w:szCs w:val="56"/>
        </w:rPr>
        <w:t xml:space="preserve">Comune di </w:t>
      </w:r>
      <w:r w:rsidR="008C18D1">
        <w:rPr>
          <w:rFonts w:ascii="Arial" w:hAnsi="Arial" w:cs="Arial"/>
          <w:b/>
          <w:sz w:val="56"/>
          <w:szCs w:val="56"/>
        </w:rPr>
        <w:t>ALICE BEL COLLE</w:t>
      </w:r>
    </w:p>
    <w:tbl>
      <w:tblPr>
        <w:tblW w:w="9778" w:type="dxa"/>
        <w:tblLayout w:type="fixed"/>
        <w:tblLook w:val="0000" w:firstRow="0" w:lastRow="0" w:firstColumn="0" w:lastColumn="0" w:noHBand="0" w:noVBand="0"/>
      </w:tblPr>
      <w:tblGrid>
        <w:gridCol w:w="9778"/>
      </w:tblGrid>
      <w:tr w:rsidR="00A8736B" w14:paraId="64F055A4" w14:textId="77777777">
        <w:tc>
          <w:tcPr>
            <w:tcW w:w="9778" w:type="dxa"/>
            <w:shd w:val="clear" w:color="auto" w:fill="0070C0"/>
          </w:tcPr>
          <w:p w14:paraId="4D1D82E9" w14:textId="77777777" w:rsidR="00A8736B" w:rsidRDefault="00B2486A">
            <w:pPr>
              <w:widowControl w:val="0"/>
              <w:tabs>
                <w:tab w:val="center" w:pos="3544"/>
              </w:tabs>
              <w:spacing w:before="120" w:after="0" w:line="240" w:lineRule="auto"/>
              <w:jc w:val="center"/>
            </w:pPr>
            <w:r>
              <w:rPr>
                <w:rFonts w:ascii="Aharoni" w:hAnsi="Aharoni" w:cs="Aharoni"/>
                <w:b/>
                <w:color w:val="FFFFFF"/>
                <w:spacing w:val="40"/>
                <w:sz w:val="32"/>
                <w:szCs w:val="36"/>
              </w:rPr>
              <w:t>DICHIARAZIONE IMU</w:t>
            </w:r>
          </w:p>
          <w:p w14:paraId="0033F951" w14:textId="77777777" w:rsidR="00A8736B" w:rsidRDefault="00B2486A">
            <w:pPr>
              <w:widowControl w:val="0"/>
              <w:snapToGrid w:val="0"/>
              <w:spacing w:before="60" w:after="60" w:line="240" w:lineRule="auto"/>
              <w:ind w:right="-1"/>
              <w:jc w:val="center"/>
            </w:pPr>
            <w:r>
              <w:rPr>
                <w:rFonts w:ascii="Arial" w:eastAsia="Times New Roman" w:hAnsi="Arial" w:cs="Arial"/>
                <w:b/>
                <w:color w:val="FFFFFF"/>
                <w:sz w:val="44"/>
                <w:szCs w:val="28"/>
                <w:lang w:eastAsia="it-IT"/>
              </w:rPr>
              <w:t>AVVISO DI SCADENZA</w:t>
            </w:r>
          </w:p>
        </w:tc>
      </w:tr>
    </w:tbl>
    <w:p w14:paraId="73125DC7" w14:textId="77777777" w:rsidR="00A8736B" w:rsidRDefault="00B2486A">
      <w:pPr>
        <w:snapToGrid w:val="0"/>
        <w:spacing w:before="320" w:after="60" w:line="240" w:lineRule="auto"/>
        <w:ind w:right="-1"/>
      </w:pPr>
      <w:r>
        <w:rPr>
          <w:rFonts w:ascii="Arial" w:eastAsia="Times New Roman" w:hAnsi="Arial" w:cs="Arial"/>
          <w:b/>
          <w:sz w:val="32"/>
          <w:szCs w:val="24"/>
          <w:lang w:eastAsia="it-IT"/>
        </w:rPr>
        <w:t>Si informa che:</w:t>
      </w:r>
    </w:p>
    <w:p w14:paraId="22A4846B" w14:textId="77777777" w:rsidR="00A8736B" w:rsidRDefault="00B2486A">
      <w:pPr>
        <w:numPr>
          <w:ilvl w:val="0"/>
          <w:numId w:val="2"/>
        </w:numPr>
        <w:snapToGrid w:val="0"/>
        <w:spacing w:before="20" w:after="20" w:line="240" w:lineRule="auto"/>
        <w:ind w:left="426" w:right="-1" w:hanging="426"/>
        <w:jc w:val="both"/>
      </w:pPr>
      <w:r>
        <w:rPr>
          <w:rFonts w:ascii="Arial" w:eastAsia="Times New Roman" w:hAnsi="Arial" w:cs="Arial"/>
          <w:b/>
          <w:sz w:val="18"/>
          <w:szCs w:val="28"/>
          <w:lang w:eastAsia="it-IT"/>
        </w:rPr>
        <w:t>Vista la legge 27 dicembre 2019, n. 160 (legge di bilancio 2020)</w:t>
      </w:r>
    </w:p>
    <w:p w14:paraId="1C78D0B8" w14:textId="77777777" w:rsidR="00A8736B" w:rsidRDefault="00B2486A">
      <w:pPr>
        <w:snapToGrid w:val="0"/>
        <w:spacing w:before="240" w:after="0" w:line="240" w:lineRule="auto"/>
        <w:ind w:right="-1"/>
        <w:jc w:val="both"/>
        <w:rPr>
          <w:rFonts w:ascii="Arial" w:eastAsia="Times New Roman" w:hAnsi="Arial" w:cs="Arial"/>
          <w:b/>
          <w:spacing w:val="2"/>
          <w:sz w:val="12"/>
          <w:szCs w:val="18"/>
          <w:lang w:eastAsia="it-IT"/>
        </w:rPr>
      </w:pPr>
      <w:r>
        <w:rPr>
          <w:rFonts w:ascii="Arial" w:eastAsia="Times New Roman" w:hAnsi="Arial" w:cs="Arial"/>
          <w:b/>
          <w:noProof/>
          <w:spacing w:val="2"/>
          <w:sz w:val="12"/>
          <w:szCs w:val="18"/>
          <w:lang w:eastAsia="it-IT"/>
        </w:rPr>
        <mc:AlternateContent>
          <mc:Choice Requires="wps">
            <w:drawing>
              <wp:anchor distT="635" distB="3810" distL="120650" distR="120015" simplePos="0" relativeHeight="2" behindDoc="0" locked="0" layoutInCell="0" allowOverlap="1" wp14:anchorId="6D23040E" wp14:editId="735F8AD0">
                <wp:simplePos x="0" y="0"/>
                <wp:positionH relativeFrom="column">
                  <wp:posOffset>1582420</wp:posOffset>
                </wp:positionH>
                <wp:positionV relativeFrom="page">
                  <wp:posOffset>2381885</wp:posOffset>
                </wp:positionV>
                <wp:extent cx="2820035" cy="502285"/>
                <wp:effectExtent l="19685" t="19685" r="35560" b="35560"/>
                <wp:wrapSquare wrapText="bothSides"/>
                <wp:docPr id="1" name="Text Box 2"/>
                <wp:cNvGraphicFramePr/>
                <a:graphic xmlns:a="http://schemas.openxmlformats.org/drawingml/2006/main">
                  <a:graphicData uri="http://schemas.microsoft.com/office/word/2010/wordprocessingShape">
                    <wps:wsp>
                      <wps:cNvSpPr/>
                      <wps:spPr>
                        <a:xfrm>
                          <a:off x="0" y="0"/>
                          <a:ext cx="2819880" cy="502200"/>
                        </a:xfrm>
                        <a:prstGeom prst="rect">
                          <a:avLst/>
                        </a:prstGeom>
                        <a:solidFill>
                          <a:srgbClr val="FFFFFF"/>
                        </a:solidFill>
                        <a:ln w="38160">
                          <a:solidFill>
                            <a:srgbClr val="2E74B5"/>
                          </a:solidFill>
                          <a:miter/>
                        </a:ln>
                        <a:effectLst>
                          <a:outerShdw dist="24437" dir="2700000" algn="ctr" rotWithShape="0">
                            <a:srgbClr val="243F60"/>
                          </a:outerShdw>
                        </a:effectLst>
                      </wps:spPr>
                      <wps:style>
                        <a:lnRef idx="0">
                          <a:scrgbClr r="0" g="0" b="0"/>
                        </a:lnRef>
                        <a:fillRef idx="0">
                          <a:scrgbClr r="0" g="0" b="0"/>
                        </a:fillRef>
                        <a:effectRef idx="0">
                          <a:scrgbClr r="0" g="0" b="0"/>
                        </a:effectRef>
                        <a:fontRef idx="minor"/>
                      </wps:style>
                      <wps:txbx>
                        <w:txbxContent>
                          <w:p w14:paraId="335D45F9" w14:textId="0EE16B84" w:rsidR="00A8736B" w:rsidRDefault="00B2486A">
                            <w:pPr>
                              <w:pStyle w:val="Titolo6"/>
                              <w:keepNext w:val="0"/>
                              <w:widowControl w:val="0"/>
                              <w:numPr>
                                <w:ilvl w:val="5"/>
                                <w:numId w:val="1"/>
                              </w:numPr>
                              <w:spacing w:before="80" w:line="276" w:lineRule="auto"/>
                              <w:rPr>
                                <w:color w:val="000000"/>
                              </w:rPr>
                            </w:pPr>
                            <w:r>
                              <w:rPr>
                                <w:color w:val="000000"/>
                                <w:sz w:val="36"/>
                              </w:rPr>
                              <w:t>ENTRO IL 30 giugno 2026</w:t>
                            </w:r>
                          </w:p>
                        </w:txbxContent>
                      </wps:txbx>
                      <wps:bodyPr lIns="85680" tIns="47520" rIns="85680" bIns="47520" anchor="t">
                        <a:noAutofit/>
                      </wps:bodyPr>
                    </wps:wsp>
                  </a:graphicData>
                </a:graphic>
              </wp:anchor>
            </w:drawing>
          </mc:Choice>
          <mc:Fallback>
            <w:pict>
              <v:rect w14:anchorId="6D23040E" id="Text Box 2" o:spid="_x0000_s1026" style="position:absolute;left:0;text-align:left;margin-left:124.6pt;margin-top:187.55pt;width:222.05pt;height:39.55pt;z-index:2;visibility:visible;mso-wrap-style:square;mso-wrap-distance-left:9.5pt;mso-wrap-distance-top:.05pt;mso-wrap-distance-right:9.45pt;mso-wrap-distance-bottom:.3pt;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" o:allowincell="f" strokecolor="#2e74b5" strokeweight="1.06mm">
                <v:shadow on="t" color="#243f60" offset=".48mm,.48mm"/>
                <v:textbox inset="2.38mm,1.32mm,2.38mm,1.32mm">
                  <w:txbxContent>
                    <w:p w14:paraId="335D45F9" w14:textId="0EE16B84" w:rsidR="00A8736B" w:rsidRDefault="00B2486A">
                      <w:pPr>
                        <w:pStyle w:val="Titolo6"/>
                        <w:keepNext w:val="0"/>
                        <w:widowControl w:val="0"/>
                        <w:numPr>
                          <w:ilvl w:val="5"/>
                          <w:numId w:val="1"/>
                        </w:numPr>
                        <w:spacing w:before="80" w:line="276" w:lineRule="auto"/>
                        <w:rPr>
                          <w:color w:val="000000"/>
                        </w:rPr>
                      </w:pPr>
                      <w:r>
                        <w:rPr>
                          <w:color w:val="000000"/>
                          <w:sz w:val="36"/>
                        </w:rPr>
                        <w:t>ENTRO IL 30 giugno 2026</w:t>
                      </w:r>
                    </w:p>
                  </w:txbxContent>
                </v:textbox>
                <w10:wrap type="square" anchory="page"/>
              </v:rect>
            </w:pict>
          </mc:Fallback>
        </mc:AlternateContent>
      </w:r>
    </w:p>
    <w:p w14:paraId="61EBE022" w14:textId="77777777" w:rsidR="00A8736B" w:rsidRDefault="00A8736B">
      <w:pPr>
        <w:snapToGrid w:val="0"/>
        <w:spacing w:before="120" w:after="60" w:line="240" w:lineRule="auto"/>
        <w:ind w:right="-1"/>
        <w:rPr>
          <w:rFonts w:ascii="Arial" w:eastAsia="Times New Roman" w:hAnsi="Arial" w:cs="Arial"/>
          <w:b/>
          <w:spacing w:val="2"/>
          <w:sz w:val="20"/>
          <w:szCs w:val="18"/>
          <w:lang w:eastAsia="it-IT"/>
        </w:rPr>
      </w:pPr>
    </w:p>
    <w:p w14:paraId="31026885" w14:textId="77777777" w:rsidR="00A8736B" w:rsidRDefault="00A8736B">
      <w:pPr>
        <w:snapToGrid w:val="0"/>
        <w:spacing w:before="120" w:after="60" w:line="240" w:lineRule="auto"/>
        <w:ind w:right="-1"/>
        <w:jc w:val="center"/>
        <w:rPr>
          <w:rFonts w:ascii="Arial" w:eastAsia="Times New Roman" w:hAnsi="Arial" w:cs="Arial"/>
          <w:b/>
          <w:spacing w:val="-4"/>
          <w:sz w:val="24"/>
          <w:szCs w:val="18"/>
          <w:u w:val="single"/>
          <w:lang w:eastAsia="it-IT"/>
        </w:rPr>
      </w:pPr>
    </w:p>
    <w:p w14:paraId="44708CEF" w14:textId="77777777" w:rsidR="00A8736B" w:rsidRDefault="00B2486A">
      <w:pPr>
        <w:snapToGrid w:val="0"/>
        <w:spacing w:before="120" w:after="60" w:line="240" w:lineRule="auto"/>
        <w:ind w:right="-1"/>
        <w:jc w:val="center"/>
      </w:pPr>
      <w:r>
        <w:rPr>
          <w:rFonts w:ascii="Arial" w:hAnsi="Arial" w:cs="Arial"/>
          <w:b/>
          <w:spacing w:val="-4"/>
          <w:sz w:val="24"/>
          <w:szCs w:val="18"/>
          <w:u w:val="single"/>
          <w:lang w:eastAsia="it-IT"/>
        </w:rPr>
        <w:t xml:space="preserve">deve essere presentata la dichiarazione relativa all’imposta municipale propria (IMU) </w:t>
      </w:r>
    </w:p>
    <w:p w14:paraId="2CDB85C4" w14:textId="77777777" w:rsidR="00A8736B" w:rsidRDefault="00A8736B">
      <w:pPr>
        <w:snapToGrid w:val="0"/>
        <w:spacing w:after="0" w:line="240" w:lineRule="auto"/>
        <w:ind w:right="425"/>
        <w:rPr>
          <w:rFonts w:ascii="Arial" w:eastAsia="Times New Roman" w:hAnsi="Arial" w:cs="Arial"/>
          <w:b/>
          <w:spacing w:val="-4"/>
          <w:sz w:val="18"/>
          <w:szCs w:val="28"/>
          <w:u w:val="single"/>
          <w:lang w:eastAsia="it-IT"/>
        </w:rPr>
      </w:pPr>
    </w:p>
    <w:tbl>
      <w:tblPr>
        <w:tblW w:w="9639" w:type="dxa"/>
        <w:tblInd w:w="108" w:type="dxa"/>
        <w:tblLayout w:type="fixed"/>
        <w:tblLook w:val="0000" w:firstRow="0" w:lastRow="0" w:firstColumn="0" w:lastColumn="0" w:noHBand="0" w:noVBand="0"/>
      </w:tblPr>
      <w:tblGrid>
        <w:gridCol w:w="9639"/>
      </w:tblGrid>
      <w:tr w:rsidR="00A8736B" w14:paraId="4025D3AA" w14:textId="77777777">
        <w:tc>
          <w:tcPr>
            <w:tcW w:w="9639" w:type="dxa"/>
            <w:shd w:val="clear" w:color="auto" w:fill="0070C0"/>
          </w:tcPr>
          <w:p w14:paraId="7CA77AFA" w14:textId="77777777" w:rsidR="00A8736B" w:rsidRDefault="00B2486A">
            <w:pPr>
              <w:pStyle w:val="Titolo2"/>
              <w:keepNext w:val="0"/>
              <w:widowControl w:val="0"/>
              <w:numPr>
                <w:ilvl w:val="1"/>
                <w:numId w:val="1"/>
              </w:numPr>
              <w:spacing w:before="60" w:after="0"/>
              <w:jc w:val="center"/>
            </w:pPr>
            <w:r>
              <w:rPr>
                <w:rFonts w:ascii="Arial" w:hAnsi="Arial" w:cs="Arial"/>
                <w:i w:val="0"/>
                <w:color w:val="FFFFFF"/>
                <w:spacing w:val="20"/>
                <w:sz w:val="18"/>
                <w:szCs w:val="18"/>
              </w:rPr>
              <w:t>DICHIARAZIONE ORDINARIA</w:t>
            </w:r>
          </w:p>
        </w:tc>
      </w:tr>
    </w:tbl>
    <w:p w14:paraId="0635EA91" w14:textId="77777777" w:rsidR="00A8736B" w:rsidRDefault="00B2486A">
      <w:pPr>
        <w:snapToGrid w:val="0"/>
        <w:spacing w:before="120" w:after="60" w:line="240" w:lineRule="auto"/>
        <w:ind w:right="-1"/>
        <w:jc w:val="both"/>
      </w:pPr>
      <w:r>
        <w:rPr>
          <w:rFonts w:ascii="Arial" w:eastAsia="Times New Roman" w:hAnsi="Arial" w:cs="Arial"/>
          <w:sz w:val="20"/>
          <w:szCs w:val="20"/>
          <w:lang w:eastAsia="it-IT"/>
        </w:rPr>
        <w:t>La dichiarazione IMU/</w:t>
      </w:r>
      <w:proofErr w:type="spellStart"/>
      <w:r>
        <w:rPr>
          <w:rFonts w:ascii="Arial" w:eastAsia="Times New Roman" w:hAnsi="Arial" w:cs="Arial"/>
          <w:sz w:val="20"/>
          <w:szCs w:val="20"/>
          <w:lang w:eastAsia="it-IT"/>
        </w:rPr>
        <w:t>IMPi</w:t>
      </w:r>
      <w:proofErr w:type="spellEnd"/>
      <w:r>
        <w:rPr>
          <w:rFonts w:ascii="Arial" w:eastAsia="Times New Roman" w:hAnsi="Arial" w:cs="Arial"/>
          <w:sz w:val="20"/>
          <w:szCs w:val="20"/>
          <w:lang w:eastAsia="it-IT"/>
        </w:rPr>
        <w:t>, cartacea o telematica, deve essere presentata a norma dell’articolo 1, comma 769, della legge n. 160 del 2019, entro il 30 giugno dell'anno successivo a quello in cui il possesso degli immobili ha avuto inizio o sono intervenute variazioni rilevanti ai fini della determinazione dell'imposta. La dichiarazione ha effetto anche per gli anni successivi, sempre che non si verifichino modificazioni dei dati ed elementi dichiarati cui consegua un diverso ammontare dell'imposta dovuta.</w:t>
      </w:r>
    </w:p>
    <w:p w14:paraId="5D746CEE"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 xml:space="preserve">Se la </w:t>
      </w:r>
      <w:r>
        <w:rPr>
          <w:rFonts w:ascii="Arial" w:eastAsia="Times New Roman" w:hAnsi="Arial" w:cs="Arial"/>
          <w:b/>
          <w:bCs/>
          <w:sz w:val="20"/>
          <w:szCs w:val="18"/>
          <w:lang w:eastAsia="it-IT"/>
        </w:rPr>
        <w:t>scadenza cade in un giorno festivo</w:t>
      </w:r>
      <w:r>
        <w:rPr>
          <w:rFonts w:ascii="Arial" w:eastAsia="Times New Roman" w:hAnsi="Arial" w:cs="Arial"/>
          <w:sz w:val="20"/>
          <w:szCs w:val="18"/>
          <w:lang w:eastAsia="it-IT"/>
        </w:rPr>
        <w:t>, il termine è da intendersi prorogato al primo giorno lavorativo successivo.</w:t>
      </w:r>
    </w:p>
    <w:p w14:paraId="5683BF66" w14:textId="77777777" w:rsidR="00A8736B" w:rsidRDefault="00B2486A">
      <w:pPr>
        <w:snapToGrid w:val="0"/>
        <w:spacing w:before="60" w:after="0" w:line="240" w:lineRule="auto"/>
        <w:ind w:right="-1"/>
        <w:jc w:val="both"/>
      </w:pPr>
      <w:r>
        <w:rPr>
          <w:rFonts w:ascii="Arial" w:eastAsia="Times New Roman" w:hAnsi="Arial" w:cs="Arial"/>
          <w:sz w:val="20"/>
          <w:szCs w:val="20"/>
          <w:lang w:eastAsia="it-IT"/>
        </w:rPr>
        <w:t xml:space="preserve">Con </w:t>
      </w:r>
      <w:r>
        <w:rPr>
          <w:rFonts w:ascii="Arial" w:eastAsia="Times New Roman" w:hAnsi="Arial" w:cs="Arial"/>
          <w:b/>
          <w:bCs/>
          <w:sz w:val="20"/>
          <w:szCs w:val="20"/>
          <w:lang w:eastAsia="it-IT"/>
        </w:rPr>
        <w:t>decreto del Ministero dell’Economia e delle Finanze del 24 aprile 2024</w:t>
      </w:r>
      <w:r>
        <w:rPr>
          <w:rFonts w:ascii="Arial" w:eastAsia="Times New Roman" w:hAnsi="Arial" w:cs="Arial"/>
          <w:sz w:val="20"/>
          <w:szCs w:val="20"/>
          <w:lang w:eastAsia="it-IT"/>
        </w:rPr>
        <w:t xml:space="preserve"> (pubblicato sulla G.U. n 112 del 15 maggio 2024) è stato approvato il nuovo modello di dichiarazione IMU e Piattaforme Marine (Dichiarazione IMU/</w:t>
      </w:r>
      <w:proofErr w:type="spellStart"/>
      <w:r>
        <w:rPr>
          <w:rFonts w:ascii="Arial" w:eastAsia="Times New Roman" w:hAnsi="Arial" w:cs="Arial"/>
          <w:sz w:val="20"/>
          <w:szCs w:val="20"/>
          <w:lang w:eastAsia="it-IT"/>
        </w:rPr>
        <w:t>IMPi</w:t>
      </w:r>
      <w:proofErr w:type="spellEnd"/>
      <w:r>
        <w:rPr>
          <w:rFonts w:ascii="Arial" w:eastAsia="Times New Roman" w:hAnsi="Arial" w:cs="Arial"/>
          <w:sz w:val="20"/>
          <w:szCs w:val="20"/>
          <w:lang w:eastAsia="it-IT"/>
        </w:rPr>
        <w:t>) e le relative istruzioni valido per tutti i soggetti passivi del tributo.</w:t>
      </w:r>
    </w:p>
    <w:p w14:paraId="17529D33" w14:textId="77777777" w:rsidR="00A8736B" w:rsidRDefault="00B2486A">
      <w:pPr>
        <w:snapToGrid w:val="0"/>
        <w:spacing w:before="60" w:after="0" w:line="240" w:lineRule="auto"/>
        <w:ind w:right="-1"/>
        <w:jc w:val="both"/>
      </w:pPr>
      <w:r>
        <w:rPr>
          <w:rFonts w:ascii="Arial" w:eastAsia="Times New Roman" w:hAnsi="Arial" w:cs="Arial"/>
          <w:b/>
          <w:bCs/>
          <w:sz w:val="20"/>
          <w:szCs w:val="20"/>
          <w:lang w:eastAsia="it-IT"/>
        </w:rPr>
        <w:t>Il modello Dichiarazione IMU/</w:t>
      </w:r>
      <w:proofErr w:type="spellStart"/>
      <w:r>
        <w:rPr>
          <w:rFonts w:ascii="Arial" w:eastAsia="Times New Roman" w:hAnsi="Arial" w:cs="Arial"/>
          <w:b/>
          <w:bCs/>
          <w:sz w:val="20"/>
          <w:szCs w:val="20"/>
          <w:lang w:eastAsia="it-IT"/>
        </w:rPr>
        <w:t>IMPi</w:t>
      </w:r>
      <w:proofErr w:type="spellEnd"/>
      <w:r>
        <w:rPr>
          <w:rFonts w:ascii="Arial" w:eastAsia="Times New Roman" w:hAnsi="Arial" w:cs="Arial"/>
          <w:b/>
          <w:bCs/>
          <w:sz w:val="20"/>
          <w:szCs w:val="20"/>
          <w:lang w:eastAsia="it-IT"/>
        </w:rPr>
        <w:t xml:space="preserve"> e le istruzioni, sono altresì disponibili al link www.finanze.gov.it.</w:t>
      </w:r>
    </w:p>
    <w:p w14:paraId="57656BA4"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La dichiarazione IMU/</w:t>
      </w:r>
      <w:proofErr w:type="spellStart"/>
      <w:r>
        <w:rPr>
          <w:rFonts w:ascii="Arial" w:eastAsia="Times New Roman" w:hAnsi="Arial" w:cs="Arial"/>
          <w:sz w:val="20"/>
          <w:szCs w:val="18"/>
          <w:lang w:eastAsia="it-IT"/>
        </w:rPr>
        <w:t>IMPi</w:t>
      </w:r>
      <w:proofErr w:type="spellEnd"/>
      <w:r>
        <w:rPr>
          <w:rFonts w:ascii="Arial" w:eastAsia="Times New Roman" w:hAnsi="Arial" w:cs="Arial"/>
          <w:sz w:val="20"/>
          <w:szCs w:val="18"/>
          <w:lang w:eastAsia="it-IT"/>
        </w:rPr>
        <w:t xml:space="preserve"> deve essere presentata, a norma dell’articolo 1, comma 769, della legge n. 160 del 2019 dai soggetti passivi, di cui all’articolo 1, comma 743, della legge n. 160 del 2019 – ad eccezione di quelli di cui al successivo comma 759, lettera g), vale a dire gli enti non commerciali di cui alla lettera i) del comma 1 dell'articolo 7 del decreto legislativo 30 dicembre 1992, n. 504, che possiedono e utilizzano gli immobili destinati esclusivamente allo svolgimento con modalità non commerciali delle attività previste nella medesima lettera i) – in </w:t>
      </w:r>
      <w:r>
        <w:rPr>
          <w:rFonts w:ascii="Arial" w:eastAsia="Times New Roman" w:hAnsi="Arial" w:cs="Arial"/>
          <w:sz w:val="20"/>
          <w:szCs w:val="18"/>
          <w:u w:val="single"/>
          <w:lang w:eastAsia="it-IT"/>
        </w:rPr>
        <w:t>modalità cartacea</w:t>
      </w:r>
      <w:r>
        <w:rPr>
          <w:rFonts w:ascii="Arial" w:eastAsia="Times New Roman" w:hAnsi="Arial" w:cs="Arial"/>
          <w:sz w:val="20"/>
          <w:szCs w:val="18"/>
          <w:lang w:eastAsia="it-IT"/>
        </w:rPr>
        <w:t xml:space="preserve"> o, in alternativa, deve essere trasmessa in </w:t>
      </w:r>
      <w:r>
        <w:rPr>
          <w:rFonts w:ascii="Arial" w:eastAsia="Times New Roman" w:hAnsi="Arial" w:cs="Arial"/>
          <w:sz w:val="20"/>
          <w:szCs w:val="18"/>
          <w:u w:val="single"/>
          <w:lang w:eastAsia="it-IT"/>
        </w:rPr>
        <w:t>via telematica</w:t>
      </w:r>
      <w:r>
        <w:rPr>
          <w:rFonts w:ascii="Arial" w:eastAsia="Times New Roman" w:hAnsi="Arial" w:cs="Arial"/>
          <w:sz w:val="20"/>
          <w:szCs w:val="18"/>
          <w:lang w:eastAsia="it-IT"/>
        </w:rPr>
        <w:t>, entro il 30 giugno dell'anno successivo a quello in cui il possesso degli immobili ha avuto inizio o sono intervenute variazioni rilevanti ai fini della determinazione dell'imposta. La dichiarazione ha effetto anche per gli anni successivi, sempre che non si verifichino modificazioni dei dati ed elementi dichiarati cui consegua un diverso ammontare dell'imposta dovuta. La dichiarazione deve essere presentata nei casi individuati nelle istruzioni allegate al citato decreto. Restano ferme le dichiarazioni presentate ai fini dell'IMU e del tributo per i servizi indivisibili, in quanto compatibili.</w:t>
      </w:r>
    </w:p>
    <w:p w14:paraId="68DF62AB"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La dichiarazione IMU/</w:t>
      </w:r>
      <w:proofErr w:type="spellStart"/>
      <w:r>
        <w:rPr>
          <w:rFonts w:ascii="Arial" w:eastAsia="Times New Roman" w:hAnsi="Arial" w:cs="Arial"/>
          <w:sz w:val="20"/>
          <w:szCs w:val="18"/>
          <w:lang w:eastAsia="it-IT"/>
        </w:rPr>
        <w:t>IMPi</w:t>
      </w:r>
      <w:proofErr w:type="spellEnd"/>
      <w:r>
        <w:rPr>
          <w:rFonts w:ascii="Arial" w:eastAsia="Times New Roman" w:hAnsi="Arial" w:cs="Arial"/>
          <w:sz w:val="20"/>
          <w:szCs w:val="18"/>
          <w:lang w:eastAsia="it-IT"/>
        </w:rPr>
        <w:t xml:space="preserve"> deve essere presentata esclusivamente, secondo </w:t>
      </w:r>
      <w:r>
        <w:rPr>
          <w:rFonts w:ascii="Arial" w:eastAsia="Times New Roman" w:hAnsi="Arial" w:cs="Arial"/>
          <w:sz w:val="20"/>
          <w:szCs w:val="18"/>
          <w:u w:val="single"/>
          <w:lang w:eastAsia="it-IT"/>
        </w:rPr>
        <w:t>modalità telematica</w:t>
      </w:r>
      <w:r>
        <w:rPr>
          <w:rFonts w:ascii="Arial" w:eastAsia="Times New Roman" w:hAnsi="Arial" w:cs="Arial"/>
          <w:sz w:val="20"/>
          <w:szCs w:val="18"/>
          <w:lang w:eastAsia="it-IT"/>
        </w:rPr>
        <w:t xml:space="preserve">, se riguarda l’esenzione per “gli immobili non utilizzabili né disponibili, per i quali sia stata presentata denuncia all'autorità giudiziaria in relazione ai reati di cui agli articoli 614, secondo comma, o 633 del codice penale o per la cui </w:t>
      </w:r>
      <w:r>
        <w:rPr>
          <w:rFonts w:ascii="Arial" w:eastAsia="Times New Roman" w:hAnsi="Arial" w:cs="Arial"/>
          <w:b/>
          <w:bCs/>
          <w:sz w:val="20"/>
          <w:szCs w:val="18"/>
          <w:lang w:eastAsia="it-IT"/>
        </w:rPr>
        <w:t>occupazione abusiva</w:t>
      </w:r>
      <w:r>
        <w:rPr>
          <w:rFonts w:ascii="Arial" w:eastAsia="Times New Roman" w:hAnsi="Arial" w:cs="Arial"/>
          <w:sz w:val="20"/>
          <w:szCs w:val="18"/>
          <w:lang w:eastAsia="it-IT"/>
        </w:rPr>
        <w:t xml:space="preserve"> sia stata presentata denuncia o iniziata azione giudiziaria penale”, di cui all’articolo 1, comma 759, lettera g-bis) della legge n. 160 del 2019. La dichiarazione deve essere trasmessa, con la medesima modalità, anche allorché cessa il diritto all'esenzione.</w:t>
      </w:r>
    </w:p>
    <w:p w14:paraId="5CD93022" w14:textId="77777777" w:rsidR="00A8736B" w:rsidRDefault="00B2486A">
      <w:pPr>
        <w:snapToGrid w:val="0"/>
        <w:spacing w:before="60" w:after="0" w:line="240" w:lineRule="auto"/>
        <w:ind w:right="-1"/>
        <w:jc w:val="both"/>
      </w:pPr>
      <w:r>
        <w:rPr>
          <w:rFonts w:ascii="Arial" w:eastAsia="Times New Roman" w:hAnsi="Arial" w:cs="Arial"/>
          <w:sz w:val="20"/>
          <w:szCs w:val="20"/>
          <w:lang w:eastAsia="it-IT"/>
        </w:rPr>
        <w:t>La dichiarazione deve essere presentata utilizzando il modello approvato con il citato decreto ministeriale</w:t>
      </w:r>
      <w:r>
        <w:rPr>
          <w:rFonts w:ascii="Arial" w:hAnsi="Arial" w:cs="Arial"/>
          <w:color w:val="000000"/>
          <w:sz w:val="20"/>
          <w:szCs w:val="20"/>
          <w:shd w:val="clear" w:color="auto" w:fill="F9F8F4"/>
        </w:rPr>
        <w:t xml:space="preserve"> </w:t>
      </w:r>
      <w:r>
        <w:rPr>
          <w:rFonts w:ascii="Arial" w:eastAsia="Times New Roman" w:hAnsi="Arial" w:cs="Arial"/>
          <w:sz w:val="20"/>
          <w:szCs w:val="20"/>
          <w:lang w:eastAsia="it-IT"/>
        </w:rPr>
        <w:t>o, in alternativa, trasmessa in via telematica secondo le modalità approvate con lo stesso decreto.</w:t>
      </w:r>
    </w:p>
    <w:p w14:paraId="1318656A" w14:textId="77777777" w:rsidR="00A8736B" w:rsidRDefault="00B2486A">
      <w:pPr>
        <w:snapToGrid w:val="0"/>
        <w:spacing w:before="60" w:after="0" w:line="240" w:lineRule="auto"/>
        <w:ind w:right="-1"/>
        <w:jc w:val="both"/>
      </w:pPr>
      <w:r>
        <w:rPr>
          <w:rFonts w:ascii="Arial" w:hAnsi="Arial" w:cs="Arial"/>
          <w:sz w:val="20"/>
          <w:szCs w:val="20"/>
        </w:rPr>
        <w:t>La norma specifica chiaramente i casi in cui l’adempimento dichiarativo si rende necessario. Si deve procedere alla presentazione della Dichiarazione in due principali circostanze. Il primo caso si verifica quando gli immobili posseduti hanno beneficiato di una riduzione dell’imposta nell’anno di riferimento. Il secondo caso si verifica quando il comune non dispone di tutte le informazioni essenziali per calcolare accuratamente l’imposta dovuta dal contribuente.</w:t>
      </w:r>
    </w:p>
    <w:p w14:paraId="29F75DEA" w14:textId="77777777" w:rsidR="00A8736B" w:rsidRDefault="00B2486A">
      <w:pPr>
        <w:snapToGrid w:val="0"/>
        <w:spacing w:before="60" w:after="0" w:line="240" w:lineRule="auto"/>
        <w:ind w:right="-1"/>
        <w:jc w:val="both"/>
      </w:pPr>
      <w:r>
        <w:rPr>
          <w:rFonts w:ascii="Arial" w:eastAsia="Times New Roman" w:hAnsi="Arial" w:cs="Arial"/>
          <w:sz w:val="16"/>
          <w:szCs w:val="16"/>
          <w:lang w:eastAsia="it-IT"/>
        </w:rPr>
        <w:t>A titolo esemplificativo, le fattispecie da dichiarare sono le seguenti:</w:t>
      </w:r>
    </w:p>
    <w:p w14:paraId="11DA9BA6"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Fabbricati dichiarati inagibili o inabitabili e di fatto non utilizzati. La dichiarazione va resa solo nel caso in cui si perda il diritto alla riduzione d’imposta;</w:t>
      </w:r>
    </w:p>
    <w:p w14:paraId="0A91E748"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Fabbricati di interesse storico o artistico;</w:t>
      </w:r>
    </w:p>
    <w:p w14:paraId="1A625C92"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oggetto di locazione finanziaria;</w:t>
      </w:r>
    </w:p>
    <w:p w14:paraId="4A861558"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oggetto di un atto di concessione amministrativa su aree demaniali;</w:t>
      </w:r>
    </w:p>
    <w:p w14:paraId="14EDB5A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lastRenderedPageBreak/>
        <w:t>Aree fabbricabili limitatamente al valore venale in comune commercio e sue variazioni. La dichiarazione non deve essere presentata se il contribuente all’atto del versamento intende adeguarsi per il calcolo dell’imposta al valore venale dell’area predeterminato dal comune;</w:t>
      </w:r>
    </w:p>
    <w:p w14:paraId="7E5F661E"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 xml:space="preserve">Terreni agricoli divenuti area fabbricabile nonché aree divenute fabbricabili ai sensi del comma 6, art. 5, del </w:t>
      </w:r>
      <w:proofErr w:type="spellStart"/>
      <w:r>
        <w:rPr>
          <w:rFonts w:ascii="Arial" w:eastAsia="Times New Roman" w:hAnsi="Arial" w:cs="Arial"/>
          <w:sz w:val="16"/>
          <w:szCs w:val="16"/>
          <w:lang w:eastAsia="it-IT"/>
        </w:rPr>
        <w:t>D.Lgs.</w:t>
      </w:r>
      <w:proofErr w:type="spellEnd"/>
      <w:r>
        <w:rPr>
          <w:rFonts w:ascii="Arial" w:eastAsia="Times New Roman" w:hAnsi="Arial" w:cs="Arial"/>
          <w:sz w:val="16"/>
          <w:szCs w:val="16"/>
          <w:lang w:eastAsia="it-IT"/>
        </w:rPr>
        <w:t xml:space="preserve"> n. 504/1992 (demolizione di fabbricato o interventi di recupero a norma dell’art. 31, comma 1, lett. c), d) ed e) della legge 5/08/1978 n. 457 ora disciplinati dall’art. 3, lettere c), d), e) ed f) del D.P.R. 06/06/2001 n. 380);</w:t>
      </w:r>
    </w:p>
    <w:p w14:paraId="2CDD768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Immobile assegnato al socio della cooperativa edilizia a proprietà divisa in via provvisoria ed al socio della cooperativa edilizia a proprietà indivisa;</w:t>
      </w:r>
    </w:p>
    <w:p w14:paraId="4719B732"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dichiarati inagibili o inabitabili e recuperati al fine di essere destinati alle attività assistenziali di cui alla legge n. 104/1992;</w:t>
      </w:r>
    </w:p>
    <w:p w14:paraId="4095C6F1"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che nel corso dell’anno hanno perso o acquistato il diritto all’esenzione dall’IMU;</w:t>
      </w:r>
    </w:p>
    <w:p w14:paraId="4CFDD3DB"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classificati nel gruppo catastale D non iscritti in catasto ovvero iscritti senza attribuzione di rendita interamente posseduti da imprese e distintamente iscritti in bilancio;</w:t>
      </w:r>
    </w:p>
    <w:p w14:paraId="40B55D43"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è intervenuta una riunione di usufrutto non dichiarata in catasto;</w:t>
      </w:r>
    </w:p>
    <w:p w14:paraId="08C7B1FA"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è intervenuta l’estinzione del diritto di abitazione, uso, enfiteusi o superficie a meno che tale estinzione non sia stata dichiarata in catasto o dipenda da atto per il quale sono state applicate le procedure telematiche del MUI;</w:t>
      </w:r>
    </w:p>
    <w:p w14:paraId="7003871A"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Le parti comuni dell’edificio indicate nell’art. 1117, n. 2 del codice civile accatastate in via autonoma, come bene comune censibile. Nel caso in cui venga costituito il condominio la dichiarazione deve essere presentata dall’amministratore del condominio per conto di tutti i condomini;</w:t>
      </w:r>
    </w:p>
    <w:p w14:paraId="5262F4FE"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posseduti a titolo di proprietà o di altro diritto reale di godimento da persone giuridiche interessate da fusione, incorporazione o scissione;</w:t>
      </w:r>
    </w:p>
    <w:p w14:paraId="395D9A8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si è verificato l’acquisto o la cessazione di un diritto reale per effetto di legge (esempio: usufrutto legale dei genitori);</w:t>
      </w:r>
    </w:p>
    <w:p w14:paraId="56FEEAB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posseduti da pensionati residenti all'estero con pensione maturata in convenzione internazionale con l'Italia;</w:t>
      </w:r>
    </w:p>
    <w:p w14:paraId="0C80347F" w14:textId="77777777" w:rsidR="00A8736B" w:rsidRDefault="00B2486A">
      <w:pPr>
        <w:snapToGrid w:val="0"/>
        <w:spacing w:before="60" w:after="0" w:line="240" w:lineRule="auto"/>
        <w:jc w:val="both"/>
        <w:rPr>
          <w:sz w:val="20"/>
          <w:szCs w:val="20"/>
        </w:rPr>
      </w:pPr>
      <w:r>
        <w:rPr>
          <w:rFonts w:ascii="Arial" w:eastAsia="Times New Roman" w:hAnsi="Arial" w:cs="Arial"/>
          <w:sz w:val="20"/>
          <w:szCs w:val="20"/>
          <w:lang w:eastAsia="it-IT"/>
        </w:rPr>
        <w:t>L’elenco completo dei casi in cui è previsto l’obbligo dichiarativo è riportato nelle istruzioni ministeriali della Dichiarazione IMU/</w:t>
      </w:r>
      <w:proofErr w:type="spellStart"/>
      <w:r>
        <w:rPr>
          <w:rFonts w:ascii="Arial" w:eastAsia="Times New Roman" w:hAnsi="Arial" w:cs="Arial"/>
          <w:sz w:val="20"/>
          <w:szCs w:val="20"/>
          <w:lang w:eastAsia="it-IT"/>
        </w:rPr>
        <w:t>IMPi</w:t>
      </w:r>
      <w:proofErr w:type="spellEnd"/>
      <w:r>
        <w:rPr>
          <w:rFonts w:ascii="Arial" w:eastAsia="Times New Roman" w:hAnsi="Arial" w:cs="Arial"/>
          <w:sz w:val="20"/>
          <w:szCs w:val="20"/>
          <w:lang w:eastAsia="it-IT"/>
        </w:rPr>
        <w:t>.</w:t>
      </w:r>
    </w:p>
    <w:p w14:paraId="2D6AABD4" w14:textId="77777777" w:rsidR="00A8736B" w:rsidRDefault="00A8736B">
      <w:pPr>
        <w:widowControl w:val="0"/>
        <w:spacing w:after="0"/>
        <w:ind w:right="142"/>
        <w:jc w:val="both"/>
        <w:rPr>
          <w:rFonts w:ascii="Arial" w:eastAsia="Times New Roman" w:hAnsi="Arial" w:cs="Arial"/>
          <w:sz w:val="16"/>
          <w:szCs w:val="16"/>
          <w:lang w:eastAsia="it-IT"/>
        </w:rPr>
      </w:pPr>
    </w:p>
    <w:tbl>
      <w:tblPr>
        <w:tblW w:w="9639" w:type="dxa"/>
        <w:tblInd w:w="108" w:type="dxa"/>
        <w:tblLayout w:type="fixed"/>
        <w:tblLook w:val="0000" w:firstRow="0" w:lastRow="0" w:firstColumn="0" w:lastColumn="0" w:noHBand="0" w:noVBand="0"/>
      </w:tblPr>
      <w:tblGrid>
        <w:gridCol w:w="9639"/>
      </w:tblGrid>
      <w:tr w:rsidR="00A8736B" w14:paraId="145B3453" w14:textId="77777777">
        <w:tc>
          <w:tcPr>
            <w:tcW w:w="9639" w:type="dxa"/>
            <w:shd w:val="clear" w:color="auto" w:fill="0070C0"/>
          </w:tcPr>
          <w:p w14:paraId="704EA6A0" w14:textId="77777777" w:rsidR="00A8736B" w:rsidRDefault="00B2486A">
            <w:pPr>
              <w:pStyle w:val="Titolo2"/>
              <w:keepNext w:val="0"/>
              <w:widowControl w:val="0"/>
              <w:numPr>
                <w:ilvl w:val="1"/>
                <w:numId w:val="1"/>
              </w:numPr>
              <w:spacing w:before="60" w:after="0"/>
              <w:jc w:val="center"/>
            </w:pPr>
            <w:r>
              <w:rPr>
                <w:rFonts w:ascii="Arial" w:hAnsi="Arial" w:cs="Arial"/>
                <w:i w:val="0"/>
                <w:color w:val="FFFFFF"/>
                <w:spacing w:val="20"/>
                <w:sz w:val="18"/>
                <w:szCs w:val="18"/>
              </w:rPr>
              <w:t>ENTI NON COMMERCIALI – DICHIARAZIONE TELEMATICA</w:t>
            </w:r>
          </w:p>
        </w:tc>
      </w:tr>
    </w:tbl>
    <w:p w14:paraId="09F312B9" w14:textId="77777777" w:rsidR="00A8736B" w:rsidRDefault="00B2486A">
      <w:pPr>
        <w:widowControl w:val="0"/>
        <w:spacing w:before="119" w:after="62" w:line="240" w:lineRule="auto"/>
        <w:ind w:right="142"/>
        <w:jc w:val="both"/>
      </w:pPr>
      <w:r>
        <w:rPr>
          <w:rFonts w:ascii="Arial" w:eastAsia="Times New Roman" w:hAnsi="Arial" w:cs="Arial"/>
          <w:sz w:val="20"/>
          <w:szCs w:val="20"/>
          <w:lang w:eastAsia="it-IT"/>
        </w:rPr>
        <w:t>La dichiarazione telematica IMU ENC deve essere presentata dagli enti di cui al comma 759, lettera g), dell’articolo 1 della legge n. 160 del 2019, vale a dire gli enti non commerciali di cui alla lettera i) del comma 1 dell'articolo 7 del decreto legislativo 30 dicembre 1992, n. 504, che possiedono e utilizzano gli immobili destinati esclusivamente allo svolgimento con modalità non commerciali delle attività previste nella medesima lettera i). Si fa presente che l’art. 1, commi 853-856 della L. 199/2025 ha tipizzato le condizioni di non commercialità per attività sanitarie/assistenziali/didattiche ai fini dell’esenzione IMU ex art. 1, comma 759, lett. g), L. 160/2019.</w:t>
      </w:r>
    </w:p>
    <w:p w14:paraId="4D21EA05" w14:textId="77777777" w:rsidR="00A8736B" w:rsidRDefault="00B2486A">
      <w:pPr>
        <w:snapToGrid w:val="0"/>
        <w:spacing w:before="62" w:after="62" w:line="240" w:lineRule="auto"/>
        <w:ind w:right="-1"/>
        <w:jc w:val="both"/>
        <w:rPr>
          <w:rFonts w:ascii="Arial" w:eastAsia="Times New Roman" w:hAnsi="Arial" w:cs="Arial"/>
          <w:sz w:val="20"/>
          <w:szCs w:val="20"/>
          <w:lang w:eastAsia="it-IT"/>
        </w:rPr>
      </w:pPr>
      <w:r>
        <w:rPr>
          <w:rFonts w:ascii="Arial" w:eastAsia="Times New Roman" w:hAnsi="Arial" w:cs="Arial"/>
          <w:sz w:val="20"/>
          <w:szCs w:val="20"/>
          <w:lang w:eastAsia="it-IT"/>
        </w:rPr>
        <w:t>La dichiarazione IMU ENC deve essere presentata, ai sensi dell’articolo 1, comma 770 della legge n. 160 del 2019, entro il 30 giugno dell’anno successivo a quello in cui il possesso degli immobili ha avuto inizio o sono intervenute variazioni rilevanti ai fini della determinazione dell’imposta. La dichiarazione deve essere presentata ogni anno.</w:t>
      </w:r>
    </w:p>
    <w:p w14:paraId="291B9F1B" w14:textId="77777777" w:rsidR="00A8736B" w:rsidRDefault="00B2486A">
      <w:pPr>
        <w:snapToGrid w:val="0"/>
        <w:spacing w:before="62" w:after="62" w:line="240" w:lineRule="auto"/>
        <w:ind w:right="-1"/>
        <w:jc w:val="both"/>
        <w:rPr>
          <w:rFonts w:ascii="Arial" w:eastAsia="Times New Roman" w:hAnsi="Arial" w:cs="Arial"/>
          <w:sz w:val="20"/>
          <w:szCs w:val="20"/>
          <w:lang w:eastAsia="it-IT"/>
        </w:rPr>
      </w:pPr>
      <w:r>
        <w:rPr>
          <w:rFonts w:ascii="Arial" w:eastAsia="Times New Roman" w:hAnsi="Arial" w:cs="Arial"/>
          <w:sz w:val="20"/>
          <w:szCs w:val="18"/>
          <w:lang w:eastAsia="it-IT"/>
        </w:rPr>
        <w:t xml:space="preserve">Se la </w:t>
      </w:r>
      <w:r>
        <w:rPr>
          <w:rFonts w:ascii="Arial" w:eastAsia="Times New Roman" w:hAnsi="Arial" w:cs="Arial"/>
          <w:b/>
          <w:bCs/>
          <w:sz w:val="20"/>
          <w:szCs w:val="18"/>
          <w:lang w:eastAsia="it-IT"/>
        </w:rPr>
        <w:t>scadenza cade in un giorno festivo</w:t>
      </w:r>
      <w:r>
        <w:rPr>
          <w:rFonts w:ascii="Arial" w:eastAsia="Times New Roman" w:hAnsi="Arial" w:cs="Arial"/>
          <w:sz w:val="20"/>
          <w:szCs w:val="18"/>
          <w:lang w:eastAsia="it-IT"/>
        </w:rPr>
        <w:t>, il termine è da intendersi prorogato al primo giorno lavorativo successivo</w:t>
      </w:r>
    </w:p>
    <w:p w14:paraId="23B387C2"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 xml:space="preserve">Il modello dichiarativo approvato con il citato decreto </w:t>
      </w:r>
      <w:r>
        <w:rPr>
          <w:rFonts w:ascii="Arial" w:eastAsia="Times New Roman" w:hAnsi="Arial" w:cs="Arial"/>
          <w:b/>
          <w:bCs/>
          <w:sz w:val="20"/>
          <w:szCs w:val="20"/>
          <w:lang w:eastAsia="it-IT"/>
        </w:rPr>
        <w:t>del Ministero dell’Economia e delle Finanze del 24 aprile 2024</w:t>
      </w:r>
      <w:r>
        <w:rPr>
          <w:rFonts w:ascii="Arial" w:eastAsia="Times New Roman" w:hAnsi="Arial" w:cs="Arial"/>
          <w:sz w:val="20"/>
          <w:szCs w:val="20"/>
          <w:lang w:eastAsia="it-IT"/>
        </w:rPr>
        <w:t xml:space="preserve"> deve essere utilizzato dagli Enti non commerciali per la presentazione della dichiarazione IMU ENC relativa a tutti gli immobili di cui sono in possesso.</w:t>
      </w:r>
    </w:p>
    <w:p w14:paraId="396BD2C0"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La dichiarazione telematica è effettuata seguendo le specifiche tecniche allegate al citato decreto. Gli eventuali aggiornamenti delle specifiche tecniche saranno pubblicati sul sito internet del Dipartimento delle finanze del Ministero dell’economia e delle finanze www.finanze.gov.it.</w:t>
      </w:r>
    </w:p>
    <w:p w14:paraId="7880EF35"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I contribuenti devono presentare la dichiarazione entro il 30 giugno dell’anno successivo a quello in cui il possesso degli immobili ha avuto inizio o nel caso in cui siano intervenute variazioni rilevanti ai fini della determinazione del tributo.</w:t>
      </w:r>
    </w:p>
    <w:p w14:paraId="0565ADD5" w14:textId="77777777" w:rsidR="00A8736B" w:rsidRDefault="00A8736B">
      <w:pPr>
        <w:widowControl w:val="0"/>
        <w:spacing w:before="60" w:after="0"/>
        <w:ind w:right="142"/>
        <w:jc w:val="both"/>
        <w:rPr>
          <w:rFonts w:ascii="Arial" w:eastAsia="Times New Roman" w:hAnsi="Arial" w:cs="Arial"/>
          <w:sz w:val="20"/>
          <w:szCs w:val="20"/>
          <w:lang w:eastAsia="it-IT"/>
        </w:rPr>
      </w:pPr>
    </w:p>
    <w:p w14:paraId="28CA754F" w14:textId="57D5D6F6" w:rsidR="00A8736B" w:rsidRDefault="00B2486A">
      <w:pPr>
        <w:widowControl w:val="0"/>
        <w:spacing w:before="60" w:after="0"/>
        <w:ind w:right="142"/>
        <w:jc w:val="both"/>
      </w:pPr>
      <w:r>
        <w:rPr>
          <w:rFonts w:ascii="Arial" w:hAnsi="Arial" w:cs="Arial"/>
          <w:i/>
          <w:sz w:val="20"/>
          <w:szCs w:val="20"/>
        </w:rPr>
        <w:t xml:space="preserve">Dalla residenza comunale, li </w:t>
      </w:r>
      <w:r w:rsidR="008C18D1">
        <w:rPr>
          <w:rFonts w:ascii="Arial" w:hAnsi="Arial" w:cs="Arial"/>
          <w:i/>
          <w:sz w:val="20"/>
          <w:szCs w:val="20"/>
        </w:rPr>
        <w:t>14</w:t>
      </w:r>
      <w:r w:rsidR="0032461D">
        <w:rPr>
          <w:rFonts w:ascii="Arial" w:hAnsi="Arial" w:cs="Arial"/>
          <w:i/>
          <w:sz w:val="20"/>
          <w:szCs w:val="20"/>
        </w:rPr>
        <w:t xml:space="preserve"> </w:t>
      </w:r>
      <w:r w:rsidR="008C18D1">
        <w:rPr>
          <w:rFonts w:ascii="Arial" w:hAnsi="Arial" w:cs="Arial"/>
          <w:i/>
          <w:sz w:val="20"/>
          <w:szCs w:val="20"/>
        </w:rPr>
        <w:t>Maggio</w:t>
      </w:r>
      <w:r w:rsidR="0032461D">
        <w:rPr>
          <w:rFonts w:ascii="Arial" w:hAnsi="Arial" w:cs="Arial"/>
          <w:i/>
          <w:sz w:val="20"/>
          <w:szCs w:val="20"/>
        </w:rPr>
        <w:t xml:space="preserve"> 2026</w:t>
      </w:r>
    </w:p>
    <w:p w14:paraId="7A0322A0" w14:textId="77777777" w:rsidR="00A8736B" w:rsidRDefault="00B2486A">
      <w:pPr>
        <w:pStyle w:val="Rientrocorpodeltesto"/>
        <w:tabs>
          <w:tab w:val="right" w:leader="dot" w:pos="5103"/>
          <w:tab w:val="right" w:pos="9639"/>
        </w:tabs>
        <w:spacing w:before="120"/>
        <w:ind w:left="5954" w:firstLine="0"/>
        <w:jc w:val="center"/>
        <w:rPr>
          <w:b/>
          <w:sz w:val="18"/>
          <w:szCs w:val="18"/>
        </w:rPr>
      </w:pPr>
      <w:r>
        <w:rPr>
          <w:b/>
          <w:sz w:val="18"/>
          <w:szCs w:val="18"/>
        </w:rPr>
        <w:t>Il Responsabile del servizio</w:t>
      </w:r>
    </w:p>
    <w:p w14:paraId="6554468A" w14:textId="3068682C" w:rsidR="00A8736B" w:rsidRDefault="008C18D1">
      <w:pPr>
        <w:pStyle w:val="Rientrocorpodeltesto"/>
        <w:tabs>
          <w:tab w:val="right" w:leader="dot" w:pos="5103"/>
          <w:tab w:val="right" w:pos="9639"/>
        </w:tabs>
        <w:spacing w:before="360"/>
        <w:ind w:left="5954" w:firstLine="0"/>
        <w:jc w:val="center"/>
      </w:pPr>
      <w:r>
        <w:rPr>
          <w:b/>
          <w:sz w:val="18"/>
          <w:szCs w:val="18"/>
        </w:rPr>
        <w:t>Daniela Martino</w:t>
      </w:r>
    </w:p>
    <w:sectPr w:rsidR="00A8736B">
      <w:pgSz w:w="11906" w:h="16838"/>
      <w:pgMar w:top="397" w:right="1134" w:bottom="39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40C37"/>
    <w:multiLevelType w:val="multilevel"/>
    <w:tmpl w:val="85D0E6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61867B6"/>
    <w:multiLevelType w:val="multilevel"/>
    <w:tmpl w:val="EB9667A0"/>
    <w:lvl w:ilvl="0">
      <w:start w:val="1"/>
      <w:numFmt w:val="bullet"/>
      <w:lvlText w:val="-"/>
      <w:lvlJc w:val="left"/>
      <w:pPr>
        <w:tabs>
          <w:tab w:val="num" w:pos="0"/>
        </w:tabs>
        <w:ind w:left="76" w:hanging="360"/>
      </w:pPr>
      <w:rPr>
        <w:rFonts w:ascii="Arial" w:hAnsi="Arial" w:cs="Arial" w:hint="default"/>
        <w:sz w:val="18"/>
        <w:szCs w:val="28"/>
        <w:lang w:eastAsia="it-I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5F1613E"/>
    <w:multiLevelType w:val="multilevel"/>
    <w:tmpl w:val="8A78C8E8"/>
    <w:lvl w:ilvl="0">
      <w:start w:val="1"/>
      <w:numFmt w:val="bullet"/>
      <w:lvlText w:val=""/>
      <w:lvlJc w:val="left"/>
      <w:pPr>
        <w:tabs>
          <w:tab w:val="num" w:pos="720"/>
        </w:tabs>
        <w:ind w:left="720" w:hanging="360"/>
      </w:pPr>
      <w:rPr>
        <w:rFonts w:ascii="Symbol" w:hAnsi="Symbol" w:cs="Symbol" w:hint="default"/>
        <w:sz w:val="16"/>
        <w:szCs w:val="16"/>
        <w:lang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16"/>
        <w:szCs w:val="16"/>
        <w:lang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16"/>
        <w:szCs w:val="16"/>
        <w:lang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7FF935D6"/>
    <w:multiLevelType w:val="multilevel"/>
    <w:tmpl w:val="2DF0C4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017655276">
    <w:abstractNumId w:val="0"/>
  </w:num>
  <w:num w:numId="2" w16cid:durableId="55517132">
    <w:abstractNumId w:val="1"/>
  </w:num>
  <w:num w:numId="3" w16cid:durableId="1108159770">
    <w:abstractNumId w:val="2"/>
  </w:num>
  <w:num w:numId="4" w16cid:durableId="179127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9"/>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6B"/>
    <w:rsid w:val="0032461D"/>
    <w:rsid w:val="003A7E4F"/>
    <w:rsid w:val="006700B3"/>
    <w:rsid w:val="00732DDD"/>
    <w:rsid w:val="008C18D1"/>
    <w:rsid w:val="00A8736B"/>
    <w:rsid w:val="00B2486A"/>
    <w:rsid w:val="00F949F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798A"/>
  <w15:docId w15:val="{A4F8078C-A341-4A4A-AA0D-2F08D80E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Calibri" w:eastAsia="Calibri" w:hAnsi="Calibri" w:cs="Calibri"/>
      <w:sz w:val="22"/>
      <w:szCs w:val="22"/>
      <w:lang w:eastAsia="zh-CN"/>
    </w:rPr>
  </w:style>
  <w:style w:type="paragraph" w:styleId="Titolo2">
    <w:name w:val="heading 2"/>
    <w:basedOn w:val="Normale"/>
    <w:next w:val="Normale"/>
    <w:qFormat/>
    <w:pPr>
      <w:keepNext/>
      <w:spacing w:before="240" w:after="60"/>
      <w:outlineLvl w:val="1"/>
    </w:pPr>
    <w:rPr>
      <w:rFonts w:ascii="Cambria" w:eastAsia="Times New Roman" w:hAnsi="Cambria" w:cs="Times New Roman"/>
      <w:b/>
      <w:bCs/>
      <w:i/>
      <w:iCs/>
      <w:sz w:val="28"/>
      <w:szCs w:val="28"/>
    </w:rPr>
  </w:style>
  <w:style w:type="paragraph" w:styleId="Titolo6">
    <w:name w:val="heading 6"/>
    <w:basedOn w:val="Normale"/>
    <w:next w:val="Normale"/>
    <w:qFormat/>
    <w:pPr>
      <w:keepNext/>
      <w:spacing w:after="0" w:line="240" w:lineRule="auto"/>
      <w:jc w:val="center"/>
      <w:outlineLvl w:val="5"/>
    </w:pPr>
    <w:rPr>
      <w:rFonts w:ascii="Arial Narrow" w:eastAsia="Times New Roman" w:hAnsi="Arial Narrow" w:cs="Arial"/>
      <w:b/>
      <w:b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18"/>
      <w:szCs w:val="28"/>
      <w:lang w:eastAsia="it-IT"/>
    </w:rPr>
  </w:style>
  <w:style w:type="character" w:customStyle="1" w:styleId="WW8Num3z0">
    <w:name w:val="WW8Num3z0"/>
    <w:qFormat/>
    <w:rPr>
      <w:rFonts w:ascii="Symbol" w:hAnsi="Symbol" w:cs="OpenSymbol"/>
      <w:sz w:val="16"/>
      <w:szCs w:val="16"/>
      <w:lang w:eastAsia="it-IT"/>
    </w:rPr>
  </w:style>
  <w:style w:type="character" w:customStyle="1" w:styleId="WW8Num3z1">
    <w:name w:val="WW8Num3z1"/>
    <w:qFormat/>
    <w:rPr>
      <w:rFonts w:ascii="OpenSymbol" w:hAnsi="OpenSymbol" w:cs="OpenSymbol"/>
    </w:rPr>
  </w:style>
  <w:style w:type="character" w:customStyle="1" w:styleId="Carpredefinitoparagrafo2">
    <w:name w:val="Car. predefinito paragrafo2"/>
    <w:qFormat/>
  </w:style>
  <w:style w:type="character" w:customStyle="1" w:styleId="Carpredefinitoparagrafo1">
    <w:name w:val="Car. predefinito paragrafo1"/>
    <w:qFormat/>
  </w:style>
  <w:style w:type="character" w:customStyle="1" w:styleId="TestofumettoCarattere">
    <w:name w:val="Testo fumetto Carattere"/>
    <w:qFormat/>
    <w:rPr>
      <w:rFonts w:ascii="Tahoma" w:hAnsi="Tahoma" w:cs="Tahoma"/>
      <w:sz w:val="16"/>
      <w:szCs w:val="16"/>
    </w:rPr>
  </w:style>
  <w:style w:type="character" w:customStyle="1" w:styleId="Titolo6Carattere">
    <w:name w:val="Titolo 6 Carattere"/>
    <w:qFormat/>
    <w:rPr>
      <w:rFonts w:ascii="Arial Narrow" w:eastAsia="Times New Roman" w:hAnsi="Arial Narrow" w:cs="Arial"/>
      <w:b/>
      <w:bCs/>
      <w:sz w:val="22"/>
      <w:szCs w:val="24"/>
    </w:rPr>
  </w:style>
  <w:style w:type="character" w:customStyle="1" w:styleId="Titolo2Carattere">
    <w:name w:val="Titolo 2 Carattere"/>
    <w:qFormat/>
    <w:rPr>
      <w:rFonts w:ascii="Cambria" w:eastAsia="Times New Roman" w:hAnsi="Cambria" w:cs="Times New Roman"/>
      <w:b/>
      <w:bCs/>
      <w:i/>
      <w:iCs/>
      <w:sz w:val="28"/>
      <w:szCs w:val="28"/>
    </w:rPr>
  </w:style>
  <w:style w:type="character" w:customStyle="1" w:styleId="RientrocorpodeltestoCarattere">
    <w:name w:val="Rientro corpo del testo Carattere"/>
    <w:qFormat/>
    <w:rPr>
      <w:rFonts w:ascii="Arial" w:eastAsia="Times New Roman" w:hAnsi="Arial" w:cs="Arial"/>
      <w:sz w:val="24"/>
      <w:szCs w:val="24"/>
    </w:rPr>
  </w:style>
  <w:style w:type="character" w:customStyle="1" w:styleId="IntestazioneCarattere">
    <w:name w:val="Intestazione Carattere"/>
    <w:qFormat/>
    <w:rPr>
      <w:rFonts w:ascii="Calibri" w:eastAsia="Calibri" w:hAnsi="Calibri" w:cs="Calibri"/>
      <w:sz w:val="22"/>
      <w:szCs w:val="22"/>
      <w:lang w:eastAsia="zh-CN"/>
    </w:rPr>
  </w:style>
  <w:style w:type="character" w:customStyle="1" w:styleId="PidipaginaCarattere">
    <w:name w:val="Piè di pagina Carattere"/>
    <w:qFormat/>
    <w:rPr>
      <w:rFonts w:ascii="Calibri" w:eastAsia="Calibri" w:hAnsi="Calibri" w:cs="Calibri"/>
      <w:sz w:val="22"/>
      <w:szCs w:val="22"/>
      <w:lang w:eastAsia="zh-CN"/>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keepNext/>
      <w:spacing w:before="240" w:after="120"/>
    </w:pPr>
    <w:rPr>
      <w:rFonts w:ascii="Liberation Sans" w:eastAsia="Microsoft YaHei" w:hAnsi="Liberation Sans" w:cs="Arial Unicode MS"/>
      <w:sz w:val="28"/>
      <w:szCs w:val="28"/>
    </w:r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customStyle="1" w:styleId="Titolo20">
    <w:name w:val="Titolo2"/>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1">
    <w:name w:val="Titolo1"/>
    <w:basedOn w:val="Normale"/>
    <w:next w:val="Corpotesto"/>
    <w:qFormat/>
    <w:pPr>
      <w:keepNext/>
      <w:spacing w:before="240" w:after="120"/>
    </w:pPr>
    <w:rPr>
      <w:rFonts w:ascii="Liberation Sans" w:eastAsia="Microsoft YaHei" w:hAnsi="Liberation Sans" w:cs="Mangal"/>
      <w:sz w:val="28"/>
      <w:szCs w:val="28"/>
    </w:rPr>
  </w:style>
  <w:style w:type="paragraph" w:styleId="Testofumetto">
    <w:name w:val="Balloon Text"/>
    <w:basedOn w:val="Normale"/>
    <w:qFormat/>
    <w:pPr>
      <w:spacing w:after="0" w:line="240" w:lineRule="auto"/>
    </w:pPr>
    <w:rPr>
      <w:rFonts w:ascii="Tahoma" w:hAnsi="Tahoma" w:cs="Tahoma"/>
      <w:sz w:val="16"/>
      <w:szCs w:val="16"/>
    </w:rPr>
  </w:style>
  <w:style w:type="paragraph" w:styleId="Rientrocorpodeltesto">
    <w:name w:val="Body Text Indent"/>
    <w:basedOn w:val="Normale"/>
    <w:pPr>
      <w:widowControl w:val="0"/>
      <w:spacing w:after="0" w:line="240" w:lineRule="auto"/>
      <w:ind w:firstLine="1009"/>
      <w:jc w:val="both"/>
    </w:pPr>
    <w:rPr>
      <w:rFonts w:ascii="Arial" w:eastAsia="Times New Roman" w:hAnsi="Arial" w:cs="Arial"/>
      <w:sz w:val="24"/>
      <w:szCs w:val="24"/>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customStyle="1" w:styleId="Intestazioneepidipagina">
    <w:name w:val="Intestazione e piè di pagina"/>
    <w:basedOn w:val="Normale"/>
    <w:qFormat/>
    <w:pPr>
      <w:suppressLineNumbers/>
      <w:tabs>
        <w:tab w:val="center" w:pos="4819"/>
        <w:tab w:val="right" w:pos="9638"/>
      </w:tabs>
    </w:p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1301</Words>
  <Characters>7417</Characters>
  <Application>Microsoft Office Word</Application>
  <DocSecurity>0</DocSecurity>
  <Lines>61</Lines>
  <Paragraphs>17</Paragraphs>
  <ScaleCrop>false</ScaleCrop>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dc:description/>
  <cp:lastModifiedBy>Daniela</cp:lastModifiedBy>
  <cp:revision>4</cp:revision>
  <cp:lastPrinted>1995-11-21T16:41:00Z</cp:lastPrinted>
  <dcterms:created xsi:type="dcterms:W3CDTF">2026-05-14T13:38:00Z</dcterms:created>
  <dcterms:modified xsi:type="dcterms:W3CDTF">2026-05-14T14:10:00Z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